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A71FD">
      <w:pPr>
        <w:spacing w:line="520" w:lineRule="exact"/>
        <w:jc w:val="center"/>
        <w:rPr>
          <w:rFonts w:hint="eastAsia" w:ascii="仿宋" w:hAnsi="仿宋" w:eastAsia="仿宋" w:cs="仿宋"/>
          <w:color w:val="000000" w:themeColor="text1"/>
          <w:sz w:val="32"/>
          <w:szCs w:val="32"/>
          <w14:textFill>
            <w14:solidFill>
              <w14:schemeClr w14:val="tx1"/>
            </w14:solidFill>
          </w14:textFill>
        </w:rPr>
      </w:pPr>
      <w:bookmarkStart w:id="0" w:name="_Toc43752515"/>
      <w:bookmarkStart w:id="1" w:name="_Toc43753761"/>
      <w:permStart w:id="0" w:edGrp="everyone"/>
      <w:r>
        <w:rPr>
          <w:rFonts w:hint="eastAsia" w:ascii="仿宋" w:hAnsi="仿宋" w:eastAsia="仿宋" w:cs="仿宋"/>
          <w:b/>
          <w:color w:val="000000" w:themeColor="text1"/>
          <w:sz w:val="32"/>
          <w:szCs w:val="32"/>
          <w:lang w:eastAsia="zh-CN"/>
          <w14:textFill>
            <w14:solidFill>
              <w14:schemeClr w14:val="tx1"/>
            </w14:solidFill>
          </w14:textFill>
        </w:rPr>
        <w:t>榆中四小项目换热站采购及安装</w:t>
      </w:r>
      <w:r>
        <w:rPr>
          <w:rFonts w:hint="eastAsia" w:ascii="仿宋" w:hAnsi="仿宋" w:eastAsia="仿宋" w:cs="仿宋"/>
          <w:b/>
          <w:color w:val="000000" w:themeColor="text1"/>
          <w:sz w:val="32"/>
          <w:szCs w:val="32"/>
          <w14:textFill>
            <w14:solidFill>
              <w14:schemeClr w14:val="tx1"/>
            </w14:solidFill>
          </w14:textFill>
        </w:rPr>
        <w:t>招标公告</w:t>
      </w:r>
      <w:bookmarkEnd w:id="0"/>
      <w:bookmarkEnd w:id="1"/>
      <w:permEnd w:id="0"/>
    </w:p>
    <w:p w14:paraId="25DFA410">
      <w:pPr>
        <w:spacing w:line="360" w:lineRule="auto"/>
        <w:jc w:val="both"/>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一、项目概况</w:t>
      </w:r>
    </w:p>
    <w:p w14:paraId="74D7ADB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榆中县第四小学建设项目总用地面积 23526.98 ㎡，总建筑面积 12305.00 ㎡，其中:地上总建筑面积为 11255.00 ㎡，包括教学楼及公共厕所建筑面积 10860.00 ㎡、门房建筑面积 85.00 ㎡、看台建筑面积为 310.00 ㎡；地下总建筑面积为 1050 ㎡，包括地下设备用房建筑面积 765.00 ㎡、地下设备夹层建筑面积 285.00 ㎡。主要建设内容包括小学教学楼（办学规模为 30 班小学)、公共厕所、门房、看台以 及室外工程等。</w:t>
      </w:r>
    </w:p>
    <w:p w14:paraId="23C4E69F">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二、招标范围</w:t>
      </w:r>
    </w:p>
    <w:p w14:paraId="7FA19D2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bookmarkStart w:id="2" w:name="OLE_LINK1"/>
      <w:r>
        <w:rPr>
          <w:rFonts w:hint="eastAsia" w:ascii="仿宋" w:hAnsi="仿宋" w:eastAsia="仿宋" w:cs="仿宋"/>
          <w:color w:val="auto"/>
          <w:kern w:val="0"/>
          <w:sz w:val="21"/>
          <w:szCs w:val="21"/>
          <w:lang w:val="en-US" w:eastAsia="zh-CN" w:bidi="ar"/>
        </w:rPr>
        <w:t>1.本次招标范围为：榆中县第四小学建设项目换热站采购及安装；</w:t>
      </w:r>
    </w:p>
    <w:p w14:paraId="1E7983F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安装范围：所完成换热站工程施工图纸深化设计方案、换热站工程施工图纸设计范围内全部施工内容、由室外供热总平图热力接入点接入市政管网产生的碰头费、市政路面破坏及恢复、热量表及阀门安装、以及换热站埋件设置、设备基础、设备供货、安装、调试，提供所有设备的备品备件、专用工具、技术文件、图纸资料，并对运行人员进行操作、维修、维护技术培训及保修期服务等相关服务。完成验收所需的资料及试运行、调试工作，取得验收合格证和生产使用许可证等相关证书，办理完毕与市政单位的手续并无任何遗留问题后移交招标人投入正常使用。负责换热站的运行、维护、安全文明以及包验收工作等为履行本次招标可能发生的所有费用。</w:t>
      </w:r>
    </w:p>
    <w:bookmarkEnd w:id="2"/>
    <w:p w14:paraId="2D441B5A">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2" w:firstLineChars="200"/>
        <w:textAlignment w:val="auto"/>
        <w:rPr>
          <w:rFonts w:hint="eastAsia"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三、招标编号</w:t>
      </w:r>
    </w:p>
    <w:p w14:paraId="4EE805A8">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default" w:ascii="仿宋" w:hAnsi="仿宋" w:eastAsia="仿宋" w:cs="仿宋"/>
          <w:b w:val="0"/>
          <w:bCs w:val="0"/>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0"/>
          <w:kern w:val="0"/>
          <w:sz w:val="20"/>
          <w:szCs w:val="20"/>
          <w:lang w:val="en-US" w:eastAsia="zh-CN" w:bidi="ar"/>
        </w:rPr>
        <w:t>JT-ZCLX-20250409007</w:t>
      </w:r>
    </w:p>
    <w:p w14:paraId="32208915">
      <w:pPr>
        <w:pStyle w:val="8"/>
        <w:keepNext w:val="0"/>
        <w:keepLines w:val="0"/>
        <w:pageBreakBefore w:val="0"/>
        <w:widowControl/>
        <w:numPr>
          <w:ilvl w:val="0"/>
          <w:numId w:val="1"/>
        </w:numPr>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付款方式</w:t>
      </w:r>
    </w:p>
    <w:p w14:paraId="288BCD3C">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结算方式：</w:t>
      </w:r>
    </w:p>
    <w:p w14:paraId="4F2826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sz w:val="21"/>
          <w:szCs w:val="21"/>
          <w:lang w:val="en-US" w:eastAsia="zh-CN"/>
        </w:rPr>
        <w:t>（1）</w:t>
      </w:r>
      <w:r>
        <w:rPr>
          <w:rFonts w:hint="eastAsia" w:ascii="仿宋" w:hAnsi="仿宋" w:eastAsia="仿宋" w:cs="仿宋"/>
          <w:color w:val="auto"/>
          <w:kern w:val="0"/>
          <w:sz w:val="21"/>
          <w:szCs w:val="21"/>
          <w:lang w:val="en-US" w:eastAsia="zh-CN" w:bidi="ar"/>
        </w:rPr>
        <w:t>1月1日至1月25日为一个结算周期；</w:t>
      </w:r>
    </w:p>
    <w:p w14:paraId="6EDC05D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（2）2月至11月结算方式：每月26日至次月25日为一个结算周期；</w:t>
      </w:r>
    </w:p>
    <w:p w14:paraId="05E8FCF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（3）12月结算方式：11月26日至12月31日为一个结算周期。</w:t>
      </w:r>
    </w:p>
    <w:p w14:paraId="10080FC4">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每个结算周期的最后一天24:00为扎帐时间点，在每个结算周期扎帐时间点后5天内，甲乙双方以验收后确认的单据为依据进行数量、金额核对，由甲方出具材料结算表，结算表须经甲方有关部门及双方法定代表人或其授权代理人签字后生效。</w:t>
      </w:r>
    </w:p>
    <w:p w14:paraId="636AE318">
      <w:pPr>
        <w:keepNext w:val="0"/>
        <w:keepLines w:val="0"/>
        <w:pageBreakBefore w:val="0"/>
        <w:kinsoku/>
        <w:wordWrap/>
        <w:overflowPunct/>
        <w:topLinePunct w:val="0"/>
        <w:bidi w:val="0"/>
        <w:adjustRightInd/>
        <w:snapToGrid/>
        <w:spacing w:beforeAutospacing="0" w:afterAutospacing="0" w:line="360" w:lineRule="auto"/>
        <w:textAlignment w:val="auto"/>
        <w:rPr>
          <w:rFonts w:hint="eastAsia" w:ascii="仿宋" w:hAnsi="仿宋" w:eastAsia="仿宋" w:cs="仿宋"/>
          <w:lang w:val="en-US" w:eastAsia="zh-CN"/>
        </w:rPr>
      </w:pPr>
      <w:r>
        <w:rPr>
          <w:rFonts w:hint="eastAsia" w:ascii="仿宋" w:hAnsi="仿宋" w:eastAsia="仿宋" w:cs="仿宋"/>
          <w:lang w:val="en-US" w:eastAsia="zh-CN"/>
        </w:rPr>
        <w:t xml:space="preserve">    2.付款方式</w:t>
      </w:r>
    </w:p>
    <w:p w14:paraId="2F320997">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20" w:firstLineChars="200"/>
        <w:textAlignment w:val="auto"/>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无预付款，按月结算，月结算完成后，甲方应在当月轧账时点后25个自然日支付累计已结算欠款的80%，专项验收通过后付款至总结算97%，剩余3%作为质量保证金待2年缺陷责任期届满后付清。</w:t>
      </w:r>
    </w:p>
    <w:p w14:paraId="76272FAD">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五、投标人资格要求</w:t>
      </w:r>
    </w:p>
    <w:p w14:paraId="0878D05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bookmarkStart w:id="3" w:name="OLE_LINK2"/>
      <w:r>
        <w:rPr>
          <w:rFonts w:hint="eastAsia" w:ascii="仿宋" w:hAnsi="仿宋" w:eastAsia="仿宋" w:cs="仿宋"/>
          <w:color w:val="auto"/>
          <w:sz w:val="21"/>
          <w:szCs w:val="21"/>
          <w:lang w:val="en-US" w:eastAsia="zh-CN"/>
        </w:rPr>
        <w:t>（1）具有换热机组、供水机组生产、销售许可和货源，且具备经营范围之内的工商行政管理部门颁发的有效营业执照；</w:t>
      </w:r>
    </w:p>
    <w:p w14:paraId="0BFC626E">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（2）在中华人民共和国境内依法注册、具有独立法人资格，生产企业注册资金不小于200万元、代理及商贸企业注册资金不小于100万元；</w:t>
      </w:r>
    </w:p>
    <w:p w14:paraId="79F348FB">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（3）投标方法定代表人为同一个人的两个及两个以上法人单位，母公司、全资子公司及其控股公司，不得同时进行投标；投标人必须独立投标，本项目不接受联合体形式投标；</w:t>
      </w:r>
    </w:p>
    <w:p w14:paraId="27464597">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（4）业绩要求：有近三年类似项目业绩，且企业信誉良好；</w:t>
      </w:r>
    </w:p>
    <w:p w14:paraId="43C2E92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（5）投标人无不良投标记录，近三年内无重大合同、经济等违约行为；</w:t>
      </w:r>
    </w:p>
    <w:p w14:paraId="4A31F7F1">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（6）未被列入各级政府黑名单及中国执行信息公开网失信被执行人名单的，具有良好的商业信誉和完善的售后服务体系，并能承担招标项目供货能力和服务的企业；</w:t>
      </w:r>
    </w:p>
    <w:p w14:paraId="5E93E508">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（7）投标人及其法定代表人（实际控制人）在“信用中国”（https://www.creditchina.gov.cn/）无不良记录或失信惩戒记录；</w:t>
      </w:r>
    </w:p>
    <w:p w14:paraId="00D5B120">
      <w:pPr>
        <w:keepNext w:val="0"/>
        <w:keepLines w:val="0"/>
        <w:pageBreakBefore w:val="0"/>
        <w:widowControl/>
        <w:suppressLineNumbers w:val="0"/>
        <w:shd w:val="clear" w:color="auto" w:fill="FFFFFF"/>
        <w:kinsoku/>
        <w:wordWrap/>
        <w:overflowPunct/>
        <w:topLinePunct w:val="0"/>
        <w:autoSpaceDE/>
        <w:autoSpaceDN/>
        <w:bidi w:val="0"/>
        <w:adjustRightInd/>
        <w:snapToGrid/>
        <w:spacing w:line="440" w:lineRule="exact"/>
        <w:ind w:left="0" w:firstLine="420" w:firstLineChars="200"/>
        <w:jc w:val="left"/>
        <w:textAlignment w:val="auto"/>
        <w:rPr>
          <w:rFonts w:hint="default"/>
          <w:lang w:val="en-US" w:eastAsia="zh-CN"/>
        </w:rPr>
      </w:pPr>
      <w:r>
        <w:rPr>
          <w:rFonts w:hint="eastAsia" w:ascii="仿宋" w:hAnsi="仿宋" w:eastAsia="仿宋" w:cs="仿宋"/>
          <w:color w:val="auto"/>
          <w:sz w:val="21"/>
          <w:szCs w:val="21"/>
          <w:lang w:val="en-US" w:eastAsia="zh-CN"/>
        </w:rPr>
        <w:t>（8）财务状况良好且在建筑行业内无不良诚信记录；</w:t>
      </w:r>
    </w:p>
    <w:bookmarkEnd w:id="3"/>
    <w:p w14:paraId="52EA2C75">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color w:val="auto"/>
          <w:kern w:val="0"/>
          <w:sz w:val="21"/>
          <w:szCs w:val="21"/>
          <w:lang w:val="en-US" w:eastAsia="zh-CN" w:bidi="ar"/>
        </w:rPr>
        <w:t>六</w:t>
      </w:r>
      <w:r>
        <w:rPr>
          <w:rFonts w:hint="eastAsia" w:ascii="仿宋" w:hAnsi="仿宋" w:eastAsia="仿宋" w:cs="仿宋"/>
          <w:b/>
          <w:bCs/>
          <w:i w:val="0"/>
          <w:iCs w:val="0"/>
          <w:caps w:val="0"/>
          <w:color w:val="000000"/>
          <w:spacing w:val="0"/>
          <w:kern w:val="0"/>
          <w:sz w:val="20"/>
          <w:szCs w:val="20"/>
          <w:lang w:val="en-US" w:eastAsia="zh-CN" w:bidi="ar"/>
        </w:rPr>
        <w:t>、技术及质量要求</w:t>
      </w:r>
    </w:p>
    <w:p w14:paraId="5BC5BED1">
      <w:pPr>
        <w:keepNext w:val="0"/>
        <w:keepLines w:val="0"/>
        <w:pageBreakBefore w:val="0"/>
        <w:kinsoku/>
        <w:wordWrap/>
        <w:overflowPunct/>
        <w:topLinePunct w:val="0"/>
        <w:bidi w:val="0"/>
        <w:adjustRightInd/>
        <w:snapToGrid/>
        <w:spacing w:beforeAutospacing="0" w:afterAutospacing="0" w:line="360" w:lineRule="auto"/>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1、满足国家现行规范要求和行业现行施工质量验收标准。</w:t>
      </w:r>
    </w:p>
    <w:p w14:paraId="0A7203AA">
      <w:pPr>
        <w:keepNext w:val="0"/>
        <w:keepLines w:val="0"/>
        <w:pageBreakBefore w:val="0"/>
        <w:kinsoku/>
        <w:wordWrap/>
        <w:overflowPunct/>
        <w:topLinePunct w:val="0"/>
        <w:bidi w:val="0"/>
        <w:adjustRightInd/>
        <w:snapToGrid/>
        <w:spacing w:beforeAutospacing="0" w:afterAutospacing="0" w:line="360" w:lineRule="auto"/>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2、要求投标人在满足质量要求的同时，所供供产品综合单价包括为提供合同产品而进行图纸深化设计、采购、生产、加工(含损耗)、包装、运输（含二次搬运及垂直运输）、装卸、管理、税金、保险、材料检测、安装、调试、验收、技术服务支持等为履行本次招标可能发生的所有费用；</w:t>
      </w:r>
    </w:p>
    <w:p w14:paraId="3044EDD0">
      <w:pPr>
        <w:keepNext w:val="0"/>
        <w:keepLines w:val="0"/>
        <w:pageBreakBefore w:val="0"/>
        <w:kinsoku/>
        <w:wordWrap/>
        <w:overflowPunct/>
        <w:topLinePunct w:val="0"/>
        <w:bidi w:val="0"/>
        <w:adjustRightInd/>
        <w:snapToGrid/>
        <w:spacing w:beforeAutospacing="0" w:afterAutospacing="0" w:line="360" w:lineRule="auto"/>
        <w:ind w:firstLine="372" w:firstLineChars="200"/>
        <w:textAlignment w:val="auto"/>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3、设备质保期（组件10年、逆变器5年），工程质保期：2年。</w:t>
      </w:r>
    </w:p>
    <w:p w14:paraId="110E568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61" w:leftChars="29" w:right="0" w:rightChars="0" w:firstLine="372" w:firstLineChars="200"/>
        <w:jc w:val="left"/>
        <w:rPr>
          <w:rFonts w:hint="default" w:ascii="仿宋" w:hAnsi="仿宋" w:eastAsia="仿宋" w:cs="仿宋"/>
          <w:b w:val="0"/>
          <w:bCs w:val="0"/>
          <w:i w:val="0"/>
          <w:iCs w:val="0"/>
          <w:caps w:val="0"/>
          <w:color w:val="000000"/>
          <w:spacing w:val="-12"/>
          <w:kern w:val="0"/>
          <w:sz w:val="21"/>
          <w:szCs w:val="21"/>
          <w:shd w:val="clear" w:color="auto" w:fill="FFFFFF"/>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4.</w:t>
      </w:r>
      <w:bookmarkStart w:id="4" w:name="OLE_LINK3"/>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涉及到的电气元器件品牌要求:德力西、西门子、施耐德、正泰  ；电线电缆品牌要求:兰州众邦、金川电缆、江西上上、远东电缆；泵组：东方泵业、凯泉KAIQUAN、南方泵业FCNP、新界泵业。</w:t>
      </w:r>
      <w:bookmarkEnd w:id="4"/>
    </w:p>
    <w:p w14:paraId="34F603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七、招标方式</w:t>
      </w:r>
    </w:p>
    <w:p w14:paraId="6616E0E8">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firstLine="372"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b w:val="0"/>
          <w:bCs w:val="0"/>
          <w:i w:val="0"/>
          <w:iCs w:val="0"/>
          <w:caps w:val="0"/>
          <w:color w:val="000000"/>
          <w:spacing w:val="-12"/>
          <w:kern w:val="0"/>
          <w:sz w:val="21"/>
          <w:szCs w:val="21"/>
          <w:shd w:val="clear" w:color="auto" w:fill="FFFFFF"/>
          <w:lang w:val="en-US" w:eastAsia="zh-CN" w:bidi="ar"/>
        </w:rPr>
        <w:t>公开</w:t>
      </w:r>
      <w:r>
        <w:rPr>
          <w:rFonts w:hint="eastAsia" w:ascii="仿宋" w:hAnsi="仿宋" w:eastAsia="仿宋" w:cs="仿宋"/>
          <w:i w:val="0"/>
          <w:iCs w:val="0"/>
          <w:caps w:val="0"/>
          <w:color w:val="000000"/>
          <w:spacing w:val="0"/>
          <w:kern w:val="0"/>
          <w:sz w:val="20"/>
          <w:szCs w:val="20"/>
          <w:lang w:val="en-US" w:eastAsia="zh-CN" w:bidi="ar"/>
        </w:rPr>
        <w:t>招标</w:t>
      </w:r>
    </w:p>
    <w:p w14:paraId="3C5330E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八、报名方式</w:t>
      </w:r>
    </w:p>
    <w:p w14:paraId="37846392">
      <w:pPr>
        <w:keepNext w:val="0"/>
        <w:keepLines w:val="0"/>
        <w:pageBreakBefore w:val="0"/>
        <w:kinsoku/>
        <w:wordWrap/>
        <w:overflowPunct/>
        <w:topLinePunct w:val="0"/>
        <w:autoSpaceDE w:val="0"/>
        <w:autoSpaceDN w:val="0"/>
        <w:bidi w:val="0"/>
        <w:adjustRightInd/>
        <w:snapToGrid/>
        <w:spacing w:beforeAutospacing="0" w:afterAutospacing="0" w:line="360" w:lineRule="auto"/>
        <w:ind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必须通过华邦控股集团阳光招采平台（https://zc.hbjtjtgf.com/）注册、报名。</w:t>
      </w:r>
    </w:p>
    <w:p w14:paraId="26E5BD69">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九、网上报名截止时间</w:t>
      </w:r>
    </w:p>
    <w:p w14:paraId="39F6627D">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网上报名截止时间：2025 年4月17日  11:00:00     </w:t>
      </w:r>
    </w:p>
    <w:p w14:paraId="39FFA2A3">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十、投标资格审核方式</w:t>
      </w:r>
    </w:p>
    <w:p w14:paraId="3F673A5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资格预审，合格制。报名后投标资格预审文件递交、招标澄清、投标文件递交必须通过华邦控股集团阳光招采平台相应模块进行，此为唯一有效参投渠道。</w:t>
      </w:r>
    </w:p>
    <w:p w14:paraId="1B460166">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十一、投标文件的发售</w:t>
      </w:r>
    </w:p>
    <w:p w14:paraId="719511AE">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5" w:name="OLE_LINK5"/>
      <w:r>
        <w:rPr>
          <w:rFonts w:hint="eastAsia" w:ascii="仿宋" w:hAnsi="仿宋" w:eastAsia="仿宋" w:cs="仿宋"/>
          <w:i w:val="0"/>
          <w:iCs w:val="0"/>
          <w:caps w:val="0"/>
          <w:color w:val="000000"/>
          <w:spacing w:val="0"/>
          <w:kern w:val="0"/>
          <w:sz w:val="20"/>
          <w:szCs w:val="20"/>
          <w:lang w:val="en-US" w:eastAsia="zh-CN" w:bidi="ar"/>
        </w:rPr>
        <w:t>1.发售对象：通过资格预审的潜在投标人（以华邦控股集团阳光招采平台信息推送为准）</w:t>
      </w:r>
    </w:p>
    <w:p w14:paraId="2CC854D3">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2.发售时间：具体详见华邦控股集团阳光招采平台信息推送</w:t>
      </w:r>
    </w:p>
    <w:p w14:paraId="2BF640B4">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3.发售方式：具体详见华邦控股集团阳光招采平台信息推送</w:t>
      </w:r>
    </w:p>
    <w:bookmarkEnd w:id="5"/>
    <w:p w14:paraId="2708C7AE">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十二、投标文件的递交和开标</w:t>
      </w:r>
    </w:p>
    <w:p w14:paraId="42160AA1">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bookmarkStart w:id="6" w:name="OLE_LINK6"/>
      <w:r>
        <w:rPr>
          <w:rFonts w:hint="eastAsia" w:ascii="仿宋" w:hAnsi="仿宋" w:eastAsia="仿宋" w:cs="仿宋"/>
          <w:i w:val="0"/>
          <w:iCs w:val="0"/>
          <w:caps w:val="0"/>
          <w:color w:val="000000"/>
          <w:spacing w:val="0"/>
          <w:kern w:val="0"/>
          <w:sz w:val="20"/>
          <w:szCs w:val="20"/>
          <w:lang w:val="en-US" w:eastAsia="zh-CN" w:bidi="ar"/>
        </w:rPr>
        <w:t xml:space="preserve">1.投标截止时间：具体详见华邦控股集团阳光招采平台信息推送 </w:t>
      </w:r>
    </w:p>
    <w:p w14:paraId="0404A15B">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2.电子投标文件：开标时间截止前请将投标文件上传至华邦控股集团阳光招采平台。（本次招标无需递交纸质版投标文件，电子版文件要求清晰完整）。</w:t>
      </w:r>
    </w:p>
    <w:p w14:paraId="3B000830">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 xml:space="preserve">3.开标时间：详见招标文件。 </w:t>
      </w:r>
    </w:p>
    <w:p w14:paraId="0714AE0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400" w:firstLineChars="20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4.开标地点：腾讯会议app视频开标。</w:t>
      </w:r>
    </w:p>
    <w:bookmarkEnd w:id="6"/>
    <w:p w14:paraId="59F40351">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十三、踏勘现场</w:t>
      </w:r>
    </w:p>
    <w:p w14:paraId="0638AF34">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bookmarkStart w:id="7" w:name="OLE_LINK7"/>
      <w:r>
        <w:rPr>
          <w:rFonts w:hint="eastAsia" w:ascii="仿宋" w:hAnsi="仿宋" w:eastAsia="仿宋" w:cs="仿宋"/>
          <w:i w:val="0"/>
          <w:iCs w:val="0"/>
          <w:caps w:val="0"/>
          <w:color w:val="000000"/>
          <w:spacing w:val="0"/>
          <w:kern w:val="0"/>
          <w:sz w:val="20"/>
          <w:szCs w:val="20"/>
          <w:lang w:val="en-US" w:eastAsia="zh-CN" w:bidi="ar"/>
        </w:rPr>
        <w:t>由投标单位自行组织踏勘，并承担相关费用，踏勘时出现人身及财产损伤，招标人概不负责</w:t>
      </w:r>
    </w:p>
    <w:p w14:paraId="0E7045CB">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标的物参考运抵地为：榆中县第四小学建设项目施工现场</w:t>
      </w:r>
    </w:p>
    <w:p w14:paraId="113D6B32">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（招标联系人：刘部长   18794792010 ）。</w:t>
      </w:r>
    </w:p>
    <w:bookmarkEnd w:id="7"/>
    <w:p w14:paraId="3514587E">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十四、联系人及联系方式</w:t>
      </w:r>
    </w:p>
    <w:p w14:paraId="0DC48071">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bookmarkStart w:id="8" w:name="OLE_LINK8"/>
      <w:bookmarkStart w:id="9" w:name="_GoBack"/>
      <w:r>
        <w:rPr>
          <w:rFonts w:hint="eastAsia" w:ascii="仿宋" w:hAnsi="仿宋" w:eastAsia="仿宋" w:cs="仿宋"/>
          <w:i w:val="0"/>
          <w:iCs w:val="0"/>
          <w:caps w:val="0"/>
          <w:color w:val="000000"/>
          <w:spacing w:val="0"/>
          <w:kern w:val="0"/>
          <w:sz w:val="20"/>
          <w:szCs w:val="20"/>
          <w:lang w:val="en-US" w:eastAsia="zh-CN" w:bidi="ar"/>
        </w:rPr>
        <w:t>招 标 人： 榆中县第四小学建设项目经理部</w:t>
      </w:r>
    </w:p>
    <w:p w14:paraId="415ADBCC">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地    址： 甘肃省兰州市榆中县第四小学建设项目</w:t>
      </w:r>
    </w:p>
    <w:p w14:paraId="269C633C">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联系方式：华邦建投集团股份有限公司（集团总部）企业注册审核联系人：（韩经理 17377328928 ）</w:t>
      </w:r>
    </w:p>
    <w:p w14:paraId="3C40D192">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西部中大建设有限公司（二级公司）资格预审联系人：闫  工（18152018660）</w:t>
      </w:r>
    </w:p>
    <w:p w14:paraId="3195C61B">
      <w:pPr>
        <w:keepNext w:val="0"/>
        <w:keepLines w:val="0"/>
        <w:pageBreakBefore w:val="0"/>
        <w:kinsoku/>
        <w:wordWrap/>
        <w:overflowPunct/>
        <w:topLinePunct w:val="0"/>
        <w:autoSpaceDE w:val="0"/>
        <w:autoSpaceDN w:val="0"/>
        <w:bidi w:val="0"/>
        <w:adjustRightInd/>
        <w:snapToGrid/>
        <w:spacing w:beforeAutospacing="0" w:afterAutospacing="0" w:line="360" w:lineRule="auto"/>
        <w:textAlignment w:val="auto"/>
        <w:rPr>
          <w:rFonts w:hint="default"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榆中县第四小学建设项目经理部：刘部长  （18794792010）  张部长  (18153669309)</w:t>
      </w:r>
      <w:bookmarkEnd w:id="9"/>
    </w:p>
    <w:bookmarkEnd w:id="8"/>
    <w:p w14:paraId="0F662FA3">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b/>
          <w:bCs/>
          <w:i w:val="0"/>
          <w:iCs w:val="0"/>
          <w:caps w:val="0"/>
          <w:color w:val="000000"/>
          <w:spacing w:val="0"/>
          <w:kern w:val="0"/>
          <w:sz w:val="20"/>
          <w:szCs w:val="20"/>
          <w:lang w:val="en-US" w:eastAsia="zh-CN" w:bidi="ar"/>
        </w:rPr>
      </w:pPr>
      <w:r>
        <w:rPr>
          <w:rFonts w:hint="eastAsia" w:ascii="仿宋" w:hAnsi="仿宋" w:eastAsia="仿宋" w:cs="仿宋"/>
          <w:b/>
          <w:bCs/>
          <w:i w:val="0"/>
          <w:iCs w:val="0"/>
          <w:caps w:val="0"/>
          <w:color w:val="000000"/>
          <w:spacing w:val="0"/>
          <w:kern w:val="0"/>
          <w:sz w:val="20"/>
          <w:szCs w:val="20"/>
          <w:lang w:val="en-US" w:eastAsia="zh-CN" w:bidi="ar"/>
        </w:rPr>
        <w:t>十五、华邦建投集团审计监察部监督电话及邮箱</w:t>
      </w:r>
    </w:p>
    <w:p w14:paraId="4DBB7000">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1.拨打移动电话18127835449，或直接添加微信号18127835449；</w:t>
      </w:r>
    </w:p>
    <w:p w14:paraId="6A63668E">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2.发送电子邮件至 jiancha@hbjtjtgf.com；</w:t>
      </w:r>
    </w:p>
    <w:p w14:paraId="09392645">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3.信函投递至广东省广州市越秀区沿江东路408号港口中心裙楼3楼华邦建投集团审计监察部</w:t>
      </w:r>
    </w:p>
    <w:p w14:paraId="60DCBEF0">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ind w:left="0" w:firstLine="0"/>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w:t>
      </w:r>
    </w:p>
    <w:p w14:paraId="5025A9C7">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附件1：授权委托书（模板，要求上传PDF扫描件）；</w:t>
      </w:r>
    </w:p>
    <w:p w14:paraId="0F2E85CD">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附件2：财务状况表（模板，要求上传PDF扫描件）；</w:t>
      </w:r>
    </w:p>
    <w:p w14:paraId="28216548">
      <w:pPr>
        <w:pStyle w:val="8"/>
        <w:keepNext w:val="0"/>
        <w:keepLines w:val="0"/>
        <w:pageBreakBefore w:val="0"/>
        <w:widowControl/>
        <w:suppressLineNumbers w:val="0"/>
        <w:kinsoku/>
        <w:wordWrap/>
        <w:overflowPunct/>
        <w:topLinePunct w:val="0"/>
        <w:bidi w:val="0"/>
        <w:adjustRightInd/>
        <w:snapToGrid/>
        <w:spacing w:beforeAutospacing="0" w:afterAutospacing="0" w:line="360" w:lineRule="auto"/>
        <w:textAlignment w:val="auto"/>
        <w:rPr>
          <w:rFonts w:hint="eastAsia" w:ascii="仿宋" w:hAnsi="仿宋" w:eastAsia="仿宋" w:cs="仿宋"/>
          <w:i w:val="0"/>
          <w:iCs w:val="0"/>
          <w:caps w:val="0"/>
          <w:color w:val="000000"/>
          <w:spacing w:val="0"/>
          <w:kern w:val="0"/>
          <w:sz w:val="20"/>
          <w:szCs w:val="20"/>
          <w:lang w:val="en-US" w:eastAsia="zh-CN" w:bidi="ar"/>
        </w:rPr>
      </w:pPr>
      <w:r>
        <w:rPr>
          <w:rFonts w:hint="eastAsia" w:ascii="仿宋" w:hAnsi="仿宋" w:eastAsia="仿宋" w:cs="仿宋"/>
          <w:i w:val="0"/>
          <w:iCs w:val="0"/>
          <w:caps w:val="0"/>
          <w:color w:val="000000"/>
          <w:spacing w:val="0"/>
          <w:kern w:val="0"/>
          <w:sz w:val="20"/>
          <w:szCs w:val="20"/>
          <w:lang w:val="en-US" w:eastAsia="zh-CN" w:bidi="ar"/>
        </w:rPr>
        <w:t>附件3：业绩合同（模板，要求上传PDF扫描件）</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AB7B">
    <w:pPr>
      <w:pStyle w:val="7"/>
      <w:rPr>
        <w:rFonts w:hint="default" w:eastAsiaTheme="minorEastAsia"/>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D74AB"/>
    <w:multiLevelType w:val="singleLevel"/>
    <w:tmpl w:val="C02D74AB"/>
    <w:lvl w:ilvl="0" w:tentative="0">
      <w:start w:val="1"/>
      <w:numFmt w:val="decimal"/>
      <w:lvlText w:val="%1."/>
      <w:lvlJc w:val="left"/>
      <w:pPr>
        <w:tabs>
          <w:tab w:val="left" w:pos="312"/>
        </w:tabs>
      </w:pPr>
    </w:lvl>
  </w:abstractNum>
  <w:abstractNum w:abstractNumId="1">
    <w:nsid w:val="F0473BCF"/>
    <w:multiLevelType w:val="singleLevel"/>
    <w:tmpl w:val="F0473BC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WQ5Y2NiNTZkYjBlMTFkOTdjMjQ0OWMxNzU1ZTMifQ=="/>
  </w:docVars>
  <w:rsids>
    <w:rsidRoot w:val="00000000"/>
    <w:rsid w:val="006360BD"/>
    <w:rsid w:val="04CB4231"/>
    <w:rsid w:val="04F30C87"/>
    <w:rsid w:val="0A1D552E"/>
    <w:rsid w:val="0C177D5B"/>
    <w:rsid w:val="0CC52725"/>
    <w:rsid w:val="0F9A38F3"/>
    <w:rsid w:val="10594DE6"/>
    <w:rsid w:val="10C85AC8"/>
    <w:rsid w:val="12D373EF"/>
    <w:rsid w:val="135B70C7"/>
    <w:rsid w:val="13B36298"/>
    <w:rsid w:val="14520B8E"/>
    <w:rsid w:val="14E57866"/>
    <w:rsid w:val="15C545A9"/>
    <w:rsid w:val="16596861"/>
    <w:rsid w:val="17096ACB"/>
    <w:rsid w:val="1CF30371"/>
    <w:rsid w:val="1DB47B00"/>
    <w:rsid w:val="1E276524"/>
    <w:rsid w:val="1ED0096A"/>
    <w:rsid w:val="20335B9C"/>
    <w:rsid w:val="273813D8"/>
    <w:rsid w:val="2D6112FF"/>
    <w:rsid w:val="2E6D45D8"/>
    <w:rsid w:val="2EBE07DF"/>
    <w:rsid w:val="306A4E25"/>
    <w:rsid w:val="30EF7678"/>
    <w:rsid w:val="31054B70"/>
    <w:rsid w:val="31374878"/>
    <w:rsid w:val="3245403A"/>
    <w:rsid w:val="335E433E"/>
    <w:rsid w:val="335F3C12"/>
    <w:rsid w:val="344F1ED9"/>
    <w:rsid w:val="36E22E5C"/>
    <w:rsid w:val="37DA4AD7"/>
    <w:rsid w:val="3A3E6C77"/>
    <w:rsid w:val="3A541FF7"/>
    <w:rsid w:val="3F620D12"/>
    <w:rsid w:val="40552625"/>
    <w:rsid w:val="41911D83"/>
    <w:rsid w:val="4464552C"/>
    <w:rsid w:val="455D32FF"/>
    <w:rsid w:val="49222A03"/>
    <w:rsid w:val="49301E81"/>
    <w:rsid w:val="49BA799D"/>
    <w:rsid w:val="4ABA5B61"/>
    <w:rsid w:val="4B7A5635"/>
    <w:rsid w:val="4BBE19C6"/>
    <w:rsid w:val="4F1418FD"/>
    <w:rsid w:val="4FC275AB"/>
    <w:rsid w:val="52971174"/>
    <w:rsid w:val="53EB5322"/>
    <w:rsid w:val="54034D89"/>
    <w:rsid w:val="59B44408"/>
    <w:rsid w:val="5B676976"/>
    <w:rsid w:val="5CDA23D8"/>
    <w:rsid w:val="5DE60909"/>
    <w:rsid w:val="5F261904"/>
    <w:rsid w:val="5F3E6C4E"/>
    <w:rsid w:val="5FB97509"/>
    <w:rsid w:val="60F73EF3"/>
    <w:rsid w:val="610D0FDD"/>
    <w:rsid w:val="662F27EF"/>
    <w:rsid w:val="671646B9"/>
    <w:rsid w:val="68CD4B9F"/>
    <w:rsid w:val="693410C2"/>
    <w:rsid w:val="696B549E"/>
    <w:rsid w:val="6A303C80"/>
    <w:rsid w:val="6AA162E3"/>
    <w:rsid w:val="6AED1528"/>
    <w:rsid w:val="6C021003"/>
    <w:rsid w:val="6C172D01"/>
    <w:rsid w:val="6C1D576D"/>
    <w:rsid w:val="6C8B724B"/>
    <w:rsid w:val="6E5024FA"/>
    <w:rsid w:val="70383246"/>
    <w:rsid w:val="71A34535"/>
    <w:rsid w:val="72290718"/>
    <w:rsid w:val="79D93CE9"/>
    <w:rsid w:val="7BED2287"/>
    <w:rsid w:val="7C26752C"/>
    <w:rsid w:val="7C5238E1"/>
    <w:rsid w:val="7C876679"/>
    <w:rsid w:val="7D4D0BC0"/>
    <w:rsid w:val="7F267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imes New Roman" w:hAnsi="Times New Roman"/>
      <w:szCs w:val="21"/>
    </w:rPr>
  </w:style>
  <w:style w:type="paragraph" w:styleId="5">
    <w:name w:val="Body Text Indent"/>
    <w:basedOn w:val="1"/>
    <w:next w:val="1"/>
    <w:qFormat/>
    <w:uiPriority w:val="0"/>
    <w:pPr>
      <w:spacing w:line="360" w:lineRule="auto"/>
      <w:ind w:firstLine="420"/>
    </w:pPr>
  </w:style>
  <w:style w:type="paragraph" w:styleId="6">
    <w:name w:val="Plain Text"/>
    <w:basedOn w:val="1"/>
    <w:qFormat/>
    <w:uiPriority w:val="0"/>
    <w:rPr>
      <w:rFonts w:ascii="宋体" w:hAnsi="Courier New" w:eastAsia="仿宋_GB231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paragraph" w:styleId="10">
    <w:name w:val="Body Text First Indent 2"/>
    <w:basedOn w:val="5"/>
    <w:next w:val="1"/>
    <w:qFormat/>
    <w:uiPriority w:val="0"/>
    <w:pPr>
      <w:adjustRightInd w:val="0"/>
      <w:snapToGrid w:val="0"/>
      <w:ind w:firstLineChars="200"/>
    </w:pPr>
    <w:rPr>
      <w:rFonts w:ascii="宋体" w:eastAsia="黑体"/>
      <w:bCs/>
      <w:snapToGrid w:val="0"/>
      <w:spacing w:val="15"/>
      <w:sz w:val="28"/>
      <w:szCs w:val="28"/>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2279</Words>
  <Characters>2558</Characters>
  <Lines>0</Lines>
  <Paragraphs>0</Paragraphs>
  <TotalTime>4</TotalTime>
  <ScaleCrop>false</ScaleCrop>
  <LinksUpToDate>false</LinksUpToDate>
  <CharactersWithSpaces>2631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2024-10-14T07:09:00Z</dcterms:created>
  <dc:creator>Administrator</dc:creator>
  <cp:lastModifiedBy>馨逸</cp:lastModifiedBy>
  <dcterms:modified xsi:type="dcterms:W3CDTF">2025-04-14T01:17:34Z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A2DC726736104440A6B7A24F61D93328_12</vt:lpwstr>
  </property>
  <property fmtid="{D5CDD505-2E9C-101B-9397-08002B2CF9AE}" pid="4" name="KSOTemplateDocerSaveRecord">
    <vt:lpwstr>eyJoZGlkIjoiMThmMWIyZWU5NDc1ZjQxNWEzNWJlMGQ1NjdkMzExYmQiLCJ1c2VySWQiOiIzMjk5OTk1MTAifQ==</vt:lpwstr>
  </property>
</Properties>
</file>