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仿宋"/>
          <w:color w:val="000000" w:themeColor="text1"/>
          <w:sz w:val="32"/>
          <w:szCs w:val="32"/>
          <w14:textFill>
            <w14:solidFill>
              <w14:schemeClr w14:val="tx1"/>
            </w14:solidFill>
          </w14:textFill>
        </w:rPr>
      </w:pPr>
      <w:bookmarkStart w:id="0" w:name="_Toc43753761"/>
      <w:bookmarkStart w:id="1" w:name="_Toc43752515"/>
      <w:permStart w:id="0" w:edGrp="everyone"/>
      <w:r>
        <w:rPr>
          <w:rFonts w:hint="eastAsia" w:ascii="仿宋" w:hAnsi="仿宋" w:eastAsia="仿宋" w:cs="仿宋"/>
          <w:b/>
          <w:color w:val="000000" w:themeColor="text1"/>
          <w:sz w:val="32"/>
          <w:szCs w:val="32"/>
          <w:lang w:eastAsia="zh-CN"/>
          <w14:textFill>
            <w14:solidFill>
              <w14:schemeClr w14:val="tx1"/>
            </w14:solidFill>
          </w14:textFill>
        </w:rPr>
        <w:t>陕西汽车配套项目电线电缆采购</w:t>
      </w:r>
      <w:r>
        <w:rPr>
          <w:rFonts w:hint="eastAsia" w:ascii="仿宋" w:hAnsi="仿宋" w:eastAsia="仿宋" w:cs="仿宋"/>
          <w:b/>
          <w:color w:val="000000" w:themeColor="text1"/>
          <w:sz w:val="32"/>
          <w:szCs w:val="32"/>
          <w14:textFill>
            <w14:solidFill>
              <w14:schemeClr w14:val="tx1"/>
            </w14:solidFill>
          </w14:textFill>
        </w:rPr>
        <w:t>招标公告</w:t>
      </w:r>
      <w:bookmarkEnd w:id="0"/>
      <w:bookmarkEnd w:id="1"/>
      <w:permEnd w:id="0"/>
    </w:p>
    <w:p>
      <w:pPr>
        <w:spacing w:line="360" w:lineRule="auto"/>
        <w:jc w:val="both"/>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一、项目概况</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20" w:firstLineChars="200"/>
        <w:textAlignment w:val="auto"/>
        <w:rPr>
          <w:rFonts w:hint="eastAsia" w:ascii="仿宋" w:hAnsi="仿宋" w:eastAsia="仿宋" w:cs="仿宋"/>
          <w:color w:val="auto"/>
          <w:kern w:val="0"/>
          <w:sz w:val="21"/>
          <w:szCs w:val="21"/>
          <w:lang w:val="en-US" w:eastAsia="zh-CN" w:bidi="ar"/>
        </w:rPr>
      </w:pPr>
      <w:bookmarkStart w:id="2" w:name="OLE_LINK4"/>
      <w:r>
        <w:rPr>
          <w:rFonts w:hint="eastAsia" w:ascii="仿宋" w:hAnsi="仿宋" w:eastAsia="仿宋" w:cs="仿宋"/>
          <w:color w:val="auto"/>
          <w:kern w:val="0"/>
          <w:sz w:val="21"/>
          <w:szCs w:val="21"/>
          <w:lang w:val="en-US" w:eastAsia="zh-CN" w:bidi="ar"/>
        </w:rPr>
        <w:t>规划总用地面积50753平米，规划用地面积27672.64平米；1#厂房（润滑油生产车间）为单层门式刚架轻型厂房，建筑高度9.15m，工程安全等级二级，耐火等级二级，火灾危险丙类，建筑基底面积6071.98平米；2#厂房（变压油生产车间）为单层门式刚架轻型厂房，建筑高度9.3m，工程安全等级二级，耐火等级二级，火灾危险丙类，建筑基底面积2676.38平米；1#研发办公楼及2#办公楼采用灰土挤密桩地基+独立基础，三层框架结构，建筑高度13.35m；结构安全等级二级，耐火等级二级，建筑基底面积698.9平米，地上建筑面积2157.46平米。</w:t>
      </w:r>
    </w:p>
    <w:bookmarkEnd w:id="2"/>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二、招标范围</w:t>
      </w:r>
    </w:p>
    <w:p>
      <w:pPr>
        <w:keepNext w:val="0"/>
        <w:keepLines w:val="0"/>
        <w:pageBreakBefore w:val="0"/>
        <w:kinsoku/>
        <w:wordWrap/>
        <w:overflowPunct/>
        <w:topLinePunct w:val="0"/>
        <w:bidi w:val="0"/>
        <w:snapToGrid/>
        <w:spacing w:line="440" w:lineRule="exact"/>
        <w:ind w:firstLine="42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3" w:name="OLE_LINK1"/>
      <w:r>
        <w:rPr>
          <w:rFonts w:hint="eastAsia" w:ascii="仿宋" w:hAnsi="仿宋" w:eastAsia="仿宋" w:cs="仿宋"/>
          <w:color w:val="auto"/>
          <w:kern w:val="0"/>
          <w:sz w:val="21"/>
          <w:szCs w:val="21"/>
          <w:lang w:val="en-US" w:eastAsia="zh-CN" w:bidi="ar"/>
        </w:rPr>
        <w:t>本次拟对陕西汽车配套项目电线电缆（暂估用量）进行招标采购，各类电线电缆</w:t>
      </w:r>
      <w:r>
        <w:rPr>
          <w:rFonts w:hint="eastAsia" w:ascii="仿宋" w:hAnsi="仿宋" w:eastAsia="仿宋" w:cs="仿宋"/>
          <w:i w:val="0"/>
          <w:iCs w:val="0"/>
          <w:caps w:val="0"/>
          <w:color w:val="000000"/>
          <w:spacing w:val="0"/>
          <w:kern w:val="0"/>
          <w:sz w:val="20"/>
          <w:szCs w:val="20"/>
          <w:lang w:val="en-US" w:eastAsia="zh-CN" w:bidi="ar"/>
        </w:rPr>
        <w:t>暂定总用量12124米，</w:t>
      </w:r>
      <w:r>
        <w:rPr>
          <w:rFonts w:hint="eastAsia" w:ascii="仿宋" w:hAnsi="仿宋" w:eastAsia="仿宋" w:cs="仿宋"/>
          <w:color w:val="auto"/>
          <w:kern w:val="0"/>
          <w:sz w:val="21"/>
          <w:szCs w:val="21"/>
          <w:lang w:val="en-US" w:eastAsia="zh-CN" w:bidi="ar"/>
        </w:rPr>
        <w:t>包括材料费、吊装费、运费、保险费、利润、税费等到工地车板交货的一切费用，一票制结算。</w:t>
      </w:r>
    </w:p>
    <w:bookmarkEnd w:id="3"/>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三、招标编号</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20" w:firstLineChars="200"/>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JT-ZCLX-20260323001</w:t>
      </w:r>
    </w:p>
    <w:p>
      <w:pPr>
        <w:pStyle w:val="11"/>
        <w:keepNext w:val="0"/>
        <w:keepLines w:val="0"/>
        <w:pageBreakBefore w:val="0"/>
        <w:widowControl/>
        <w:numPr>
          <w:ilvl w:val="0"/>
          <w:numId w:val="1"/>
        </w:numPr>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付款方式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结算方式：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1"/>
          <w:szCs w:val="21"/>
          <w:lang w:val="en-US" w:eastAsia="zh-CN"/>
        </w:rPr>
        <w:t>（1）</w:t>
      </w:r>
      <w:r>
        <w:rPr>
          <w:rFonts w:hint="eastAsia" w:ascii="仿宋" w:hAnsi="仿宋" w:eastAsia="仿宋" w:cs="仿宋"/>
          <w:color w:val="auto"/>
          <w:kern w:val="0"/>
          <w:sz w:val="21"/>
          <w:szCs w:val="21"/>
          <w:lang w:val="en-US" w:eastAsia="zh-CN" w:bidi="ar"/>
        </w:rPr>
        <w:t>1月1日至1月25日为一个结算周期；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（2）2月至11月结算方式：每月26日至次月25日为一个结算周期；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（3）12月结算方式：11月26日至12月31日为一个结算周期。</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每个结算周期的最后一天24:00为扎帐时间点，在每个结算周期扎帐时间点后5天内，甲乙双方以验收后确认的单据为依据进行数量、金额核对，由招标人出具材料结算表，结算表须经招标人有关部门及双方法定代表人或其授权代理人签字后生效。</w:t>
      </w:r>
    </w:p>
    <w:p>
      <w:pPr>
        <w:keepNext w:val="0"/>
        <w:keepLines w:val="0"/>
        <w:pageBreakBefore w:val="0"/>
        <w:kinsoku/>
        <w:wordWrap/>
        <w:overflowPunct/>
        <w:topLinePunct w:val="0"/>
        <w:bidi w:val="0"/>
        <w:adjustRightInd/>
        <w:snapToGrid/>
        <w:spacing w:beforeAutospacing="0" w:afterAutospacing="0"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 xml:space="preserve">    2.付款方式</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bookmarkStart w:id="4" w:name="OLE_LINK3"/>
      <w:r>
        <w:rPr>
          <w:rFonts w:hint="eastAsia" w:ascii="仿宋" w:hAnsi="仿宋" w:eastAsia="仿宋" w:cs="仿宋"/>
          <w:color w:val="auto"/>
          <w:kern w:val="0"/>
          <w:sz w:val="21"/>
          <w:szCs w:val="21"/>
          <w:lang w:val="en-US" w:eastAsia="zh-CN" w:bidi="ar"/>
        </w:rPr>
        <w:t>根据生产需求提前15个工作日支付批次采购价款的20%做为预付款，此预付款在后期结算付款中优先进行一次性冲抵；投标人每个结算周期送货所发生的货款在完成结算后，招标人于该结算周期轧账时点后次月25日之前支付已结算欠款的95%，扣留当期结算款的5%作为质量保证金，检测未发现质量问题且项目整体验收合格后带电运行六个月，无质量问题则一次性无息支付；若发现质量问题或造成招标人实际损失的，招标人有权扣除部分结算货款以弥补损失。</w:t>
      </w:r>
    </w:p>
    <w:bookmarkEnd w:id="4"/>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五、投标人资格要求</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bookmarkStart w:id="5" w:name="OLE_LINK2"/>
      <w:bookmarkStart w:id="6" w:name="OLE_LINK9"/>
      <w:r>
        <w:rPr>
          <w:rFonts w:hint="eastAsia" w:ascii="仿宋" w:hAnsi="仿宋" w:eastAsia="仿宋" w:cs="仿宋"/>
          <w:color w:val="auto"/>
          <w:kern w:val="0"/>
          <w:sz w:val="21"/>
          <w:szCs w:val="21"/>
          <w:lang w:val="en-US" w:eastAsia="zh-CN" w:bidi="ar"/>
        </w:rPr>
        <w:t>1.必须具有电线电缆生产、销售许可和货源，且具备经营范围之内的工商行政管理部门颁发的有效营业执照；</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2.必须是在中华人民共和国境内依法注册、具有独立法人资格，生产企业注册资金不少于1000万元、经销代理商注册资金不小于100万元。</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3.投标方法定代表人为同一个人的两个及两个以上法人单位，母公司、全资子公司及其控股公司，不得同时进行投标；投标人必须独立投标，本项目不接受联合体形式投标。</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4.业绩要求：有近三年类似项目供应业绩(附相关业绩证明材料)，且企业信誉良好。</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5.投标人无不良投标记录，近三年内无重大合同、经济等违约行为。</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6.未被列入各级政府黑名单及中国执行信息公开网失信被执行人名单的，具有良好的商业信誉和完善的售后服务体系，并能承担招标项目供货能力和服务的企业。</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7.投标人及其法定代表人(或实际控制人)在“信用中国</w:t>
      </w:r>
      <w:bookmarkEnd w:id="5"/>
      <w:r>
        <w:rPr>
          <w:rFonts w:hint="eastAsia" w:ascii="仿宋" w:hAnsi="仿宋" w:eastAsia="仿宋" w:cs="仿宋"/>
          <w:color w:val="auto"/>
          <w:kern w:val="0"/>
          <w:sz w:val="21"/>
          <w:szCs w:val="21"/>
          <w:lang w:val="en-US" w:eastAsia="zh-CN" w:bidi="ar"/>
        </w:rPr>
        <w:t>(https://www.creditchina.gov.cn/)”无不良记录或失信惩戒记录。</w:t>
      </w:r>
    </w:p>
    <w:bookmarkEnd w:id="6"/>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color w:val="auto"/>
          <w:kern w:val="0"/>
          <w:sz w:val="21"/>
          <w:szCs w:val="21"/>
          <w:lang w:val="en-US" w:eastAsia="zh-CN" w:bidi="ar"/>
        </w:rPr>
        <w:t>六</w:t>
      </w:r>
      <w:r>
        <w:rPr>
          <w:rFonts w:hint="eastAsia" w:ascii="仿宋" w:hAnsi="仿宋" w:eastAsia="仿宋" w:cs="仿宋"/>
          <w:b/>
          <w:bCs/>
          <w:i w:val="0"/>
          <w:iCs w:val="0"/>
          <w:caps w:val="0"/>
          <w:color w:val="000000"/>
          <w:spacing w:val="0"/>
          <w:kern w:val="0"/>
          <w:sz w:val="20"/>
          <w:szCs w:val="20"/>
          <w:lang w:val="en-US" w:eastAsia="zh-CN" w:bidi="ar"/>
        </w:rPr>
        <w:t>、技术及质量要求</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bookmarkStart w:id="7" w:name="OLE_LINK10"/>
      <w:r>
        <w:rPr>
          <w:rFonts w:hint="eastAsia" w:ascii="仿宋" w:hAnsi="仿宋" w:eastAsia="仿宋" w:cs="仿宋"/>
          <w:color w:val="auto"/>
          <w:kern w:val="0"/>
          <w:sz w:val="21"/>
          <w:szCs w:val="21"/>
          <w:lang w:val="en-US" w:eastAsia="zh-CN" w:bidi="ar"/>
        </w:rPr>
        <w:t>（一）无卤低烟阻燃交联聚烯烃绝缘布线电线（WDZ/WDZN-BYJ 系列）</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符合《额定电压 450/750V 及以下交联聚烯烃绝缘电线和电缆》（JB/T10491-2022）、《阻燃和耐火电线电缆或光缆通则》（GB/T19666-2019）全部要求，无卤低烟指标满足国家环保规范，耐火型需通过对应耐火等级检测。</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（二）无卤低烟阻燃电力电缆（WDZN-YJE/WDZ-YJV22/WDZ-YJY 系列）</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符合《额定电压 1KV (Um=1.2KV) 到 35KV (Um=40.5KV) 挤包绝缘电力电缆及附件》（GB/T12706-2020）、《阻燃和耐火电线电缆或光缆通则》（GB/T19666-2019）全部要求，铠装型电缆钢带铠装层需满足机械防护、抗腐蚀指标。</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（三）矿物绝缘防火电缆（NG-A 系列）</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1.耐温阻燃：可在带电工作状态下承受 950℃高温连续燃烧 3 小时，燃烧后仍保持完整绝缘及导电性能；</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2.质量标准：符合《阻燃和耐火电线电缆或光缆通则》（GB/T 19666-2019）、《额定电压 0.6/1kV 及以下铝护套复合耐火绝缘电缆》（Q/QF-002-2017）全部要求；</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3.物理性能：护套及绝缘层抗老化、抗机械冲击，适配工业项目现场安装及使用环境。</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（四）聚氯乙烯绝缘电线 / 电缆（BV/BVR/ZR-RVVP/ZR-RVS/ZAN-BV 系列）</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符合《额定电压 450/750V 及以下聚氯乙烯绝缘电缆》（GB/T 5023-2008）、《阻燃和耐火电线电缆或光缆通则》（GB/T19666-2019）对应要求，其中 ZAN-BV 系列需达到A 类阻燃等级，耐火型需通过耐火试验检测。</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（五）橡皮绝缘电线（BX 系列）</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符合《额定电压 450/750V 及以下橡皮绝缘电缆》（GB/T 5013-2008）全部要求，橡皮护套需具备耐候、耐油、抗撕裂性能，适配多环境使用。</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在合同有效期内，如相关主管部门对标准、规范及规程进行了修订或更新，则投标方应以更新或修订后的版本为准，并予以执行。</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《通用要求》：</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1.所有电缆导体均为纯铜芯，导电率、线径偏差需符合国标，无氧化、杂质等质量问题；绝缘层、护套层材质与标称一致，厚度均匀，无针孔、裂纹、缺料等缺陷；</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2.成卷电缆标识清晰，包含规格型号、执行标准、生产厂家、生产日期、米数标识等信息；</w:t>
      </w:r>
    </w:p>
    <w:p>
      <w:pPr>
        <w:pStyle w:val="5"/>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3.所有产品需提供出厂检测报告、合格证，阻燃 / 耐火 / 矿物绝缘类电缆需额外提供第三方权威检测机构检测报告。</w:t>
      </w:r>
    </w:p>
    <w:bookmarkEnd w:id="7"/>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七、招标方式</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公开</w:t>
      </w:r>
      <w:r>
        <w:rPr>
          <w:rFonts w:hint="eastAsia" w:ascii="仿宋" w:hAnsi="仿宋" w:eastAsia="仿宋" w:cs="仿宋"/>
          <w:i w:val="0"/>
          <w:iCs w:val="0"/>
          <w:caps w:val="0"/>
          <w:color w:val="000000"/>
          <w:spacing w:val="0"/>
          <w:kern w:val="0"/>
          <w:sz w:val="20"/>
          <w:szCs w:val="20"/>
          <w:lang w:val="en-US" w:eastAsia="zh-CN" w:bidi="ar"/>
        </w:rPr>
        <w:t>招标</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八、报名方式</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必须通过华邦控股集团阳光招采平台（https://zc.hbjtjtgf.com/）注册、报名。</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九、网上报名截止时间</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网上报名截止时间：2026年3月30日 9：00   </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十、投标资格审核方式</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8" w:name="OLE_LINK11"/>
      <w:r>
        <w:rPr>
          <w:rFonts w:hint="eastAsia" w:ascii="仿宋" w:hAnsi="仿宋" w:eastAsia="仿宋" w:cs="仿宋"/>
          <w:i w:val="0"/>
          <w:iCs w:val="0"/>
          <w:caps w:val="0"/>
          <w:color w:val="000000"/>
          <w:spacing w:val="0"/>
          <w:kern w:val="0"/>
          <w:sz w:val="20"/>
          <w:szCs w:val="20"/>
          <w:lang w:val="en-US" w:eastAsia="zh-CN" w:bidi="ar"/>
        </w:rPr>
        <w:t>资格预审，合格制。报名后投标资格预审文件递交、招标澄清、投标文件递交必须通过华邦控股集团阳光招采平台相应模块进行，此为唯一有效参投渠道。</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投标人须在资格预审申请文件中唯一、明确申报本次拟投标的电线电缆品牌及对应生产厂家，不得空缺、不得模糊表述、不得设置多品牌备选。</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投标人在资格预审通过后，投标阶段及合同履约阶段不得变更申报品牌，擅自变更品牌的，视为无效投标或违约，招标人有权拒绝其投标或取消其中标资格。</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投标人为生产厂家的，须提供与申报品牌一致的生产资质、CCC认证及相关质量证明文件。</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投标人为代理商的，须在资格预审阶段提交生产厂家针对本项目出具的唯一产品授权函，授权函须明确唯一、排他、不可转授权。</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同一品牌、同一生产厂家的电线电缆产品，本项目仅接受一家投标人参与资格预审；如出现多家投标人使用同一品牌，相关投标人均按资格审查不合格处理。</w:t>
      </w:r>
    </w:p>
    <w:p>
      <w:pPr>
        <w:pStyle w:val="11"/>
        <w:keepNext w:val="0"/>
        <w:keepLines w:val="0"/>
        <w:pageBreakBefore w:val="0"/>
        <w:widowControl/>
        <w:numPr>
          <w:ilvl w:val="0"/>
          <w:numId w:val="3"/>
        </w:numPr>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投标人须承诺所投产品为原厂正品，不贴牌、不代工、不串货，所提供资料真实有效，否则招标人有权取消其投标及中标资格，并追究相应责任。</w:t>
      </w:r>
    </w:p>
    <w:bookmarkEnd w:id="8"/>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十一、投标文件的发售</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9" w:name="OLE_LINK5"/>
      <w:r>
        <w:rPr>
          <w:rFonts w:hint="eastAsia" w:ascii="仿宋" w:hAnsi="仿宋" w:eastAsia="仿宋" w:cs="仿宋"/>
          <w:i w:val="0"/>
          <w:iCs w:val="0"/>
          <w:caps w:val="0"/>
          <w:color w:val="000000"/>
          <w:spacing w:val="0"/>
          <w:kern w:val="0"/>
          <w:sz w:val="20"/>
          <w:szCs w:val="20"/>
          <w:lang w:val="en-US" w:eastAsia="zh-CN" w:bidi="ar"/>
        </w:rPr>
        <w:t>1.发售对象：通过资格预审的潜在投标人（以华邦控股集团阳光招采平台信息推送为准）。</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2.发售时间：具体详见华邦控股集团阳光招采平台信息推送。</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3.发售方式：具体详见华邦控股集团阳光招采平台信息推送。</w:t>
      </w:r>
    </w:p>
    <w:bookmarkEnd w:id="9"/>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十二、投标文件的递交和开标</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宋体" w:cs="仿宋"/>
          <w:i w:val="0"/>
          <w:iCs w:val="0"/>
          <w:caps w:val="0"/>
          <w:color w:val="000000"/>
          <w:spacing w:val="0"/>
          <w:kern w:val="0"/>
          <w:sz w:val="20"/>
          <w:szCs w:val="20"/>
          <w:lang w:val="en-US" w:eastAsia="zh-CN" w:bidi="ar"/>
        </w:rPr>
      </w:pPr>
      <w:bookmarkStart w:id="10" w:name="OLE_LINK6"/>
      <w:r>
        <w:rPr>
          <w:rFonts w:hint="eastAsia" w:ascii="仿宋" w:hAnsi="仿宋" w:eastAsia="仿宋" w:cs="仿宋"/>
          <w:i w:val="0"/>
          <w:iCs w:val="0"/>
          <w:caps w:val="0"/>
          <w:color w:val="000000"/>
          <w:spacing w:val="0"/>
          <w:kern w:val="0"/>
          <w:sz w:val="20"/>
          <w:szCs w:val="20"/>
          <w:lang w:val="en-US" w:eastAsia="zh-CN" w:bidi="ar"/>
        </w:rPr>
        <w:t>1.投标截止时间：详见招标文件；</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2.电子投标文件：开标时间截止前请将投标文件上传至华邦控股集团阳光招采平台。（本次招标无需递交纸质版投标文件，电子版文件要求清晰完整）。</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3.开标时间：详见招标文件。 </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4.开标地点：详见招标文件。</w:t>
      </w:r>
    </w:p>
    <w:bookmarkEnd w:id="10"/>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十三、踏勘现场</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11" w:name="OLE_LINK7"/>
      <w:r>
        <w:rPr>
          <w:rFonts w:hint="eastAsia" w:ascii="仿宋" w:hAnsi="仿宋" w:eastAsia="仿宋" w:cs="仿宋"/>
          <w:i w:val="0"/>
          <w:iCs w:val="0"/>
          <w:caps w:val="0"/>
          <w:color w:val="000000"/>
          <w:spacing w:val="0"/>
          <w:kern w:val="0"/>
          <w:sz w:val="20"/>
          <w:szCs w:val="20"/>
          <w:lang w:val="en-US" w:eastAsia="zh-CN" w:bidi="ar"/>
        </w:rPr>
        <w:t>由投标单位自行组织踏勘，并承担相关费用，踏勘时出现人身及财产损伤，招标人概不负责</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标的物参考运抵地为：陕西省咸阳市乾县陕西道明尼润滑油工厂（大市场加油站斜对面）（招标联系人：刘部长   18794792010 ）。</w:t>
      </w:r>
    </w:p>
    <w:bookmarkEnd w:id="11"/>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十四、联系人及联系方式</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12" w:name="OLE_LINK8"/>
      <w:r>
        <w:rPr>
          <w:rFonts w:hint="eastAsia" w:ascii="仿宋" w:hAnsi="仿宋" w:eastAsia="仿宋" w:cs="仿宋"/>
          <w:i w:val="0"/>
          <w:iCs w:val="0"/>
          <w:caps w:val="0"/>
          <w:color w:val="000000"/>
          <w:spacing w:val="0"/>
          <w:kern w:val="0"/>
          <w:sz w:val="20"/>
          <w:szCs w:val="20"/>
          <w:lang w:val="en-US" w:eastAsia="zh-CN" w:bidi="ar"/>
        </w:rPr>
        <w:t>招 标 人： 华邦城投建设有限公司年产十万吨汽车工业设备润滑及包装材料配套项目经理部</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地    址： 陕西省咸阳市乾县</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华邦城投建设有限公司（二级公司）资格预审联系人：胡部长（13679453464）</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项目物资机械部：刘部长  （18794792010） </w:t>
      </w:r>
    </w:p>
    <w:bookmarkEnd w:id="12"/>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十五、华邦建投集团审计监察部监督电话及邮箱</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14" w:name="_GoBack"/>
      <w:bookmarkStart w:id="13" w:name="OLE_LINK12"/>
      <w:r>
        <w:rPr>
          <w:rFonts w:hint="eastAsia" w:ascii="仿宋" w:hAnsi="仿宋" w:eastAsia="仿宋" w:cs="仿宋"/>
          <w:i w:val="0"/>
          <w:iCs w:val="0"/>
          <w:caps w:val="0"/>
          <w:color w:val="000000"/>
          <w:spacing w:val="0"/>
          <w:kern w:val="0"/>
          <w:sz w:val="20"/>
          <w:szCs w:val="20"/>
          <w:lang w:val="en-US" w:eastAsia="zh-CN" w:bidi="ar"/>
        </w:rPr>
        <w:t>1.拨打移动电话18127835449，或直接添加微信号18127835449；</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2.发送电子邮件至 jiancha@hbjtjtgf.com；</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3.信函投递至广东省广州市越秀区沿江东路408号港口中心裙楼3楼华邦建投集团审计监察部</w:t>
      </w:r>
      <w:bookmarkEnd w:id="13"/>
    </w:p>
    <w:bookmarkEnd w:id="14"/>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附件1：授权委托书（模板，要求上传PDF扫描件）；</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附件2：业绩合同（模板，要求上传PDF扫描件）；</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附件3：财务状况表（模板，要求上传PDF扫描件）；</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附件4：拟投标产品品牌声明表（模板，要求上传盖章版PDF扫描件）</w:t>
      </w:r>
    </w:p>
    <w:p>
      <w:pPr>
        <w:widowControl/>
        <w:spacing w:line="300" w:lineRule="exact"/>
        <w:ind w:firstLine="4800" w:firstLineChars="2400"/>
        <w:jc w:val="left"/>
        <w:rPr>
          <w:rFonts w:hint="eastAsia" w:ascii="仿宋" w:hAnsi="仿宋" w:eastAsia="仿宋" w:cs="仿宋"/>
          <w:i w:val="0"/>
          <w:iCs w:val="0"/>
          <w:caps w:val="0"/>
          <w:color w:val="000000"/>
          <w:spacing w:val="0"/>
          <w:kern w:val="0"/>
          <w:sz w:val="20"/>
          <w:szCs w:val="20"/>
          <w:lang w:val="en-US" w:eastAsia="zh-CN" w:bidi="ar"/>
        </w:rPr>
      </w:pPr>
    </w:p>
    <w:p>
      <w:pPr>
        <w:widowControl/>
        <w:spacing w:line="300" w:lineRule="exact"/>
        <w:ind w:firstLine="4800" w:firstLineChars="2400"/>
        <w:jc w:val="left"/>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华邦城投建设有限公司</w:t>
      </w:r>
    </w:p>
    <w:p>
      <w:pPr>
        <w:widowControl/>
        <w:spacing w:line="300" w:lineRule="exact"/>
        <w:jc w:val="right"/>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年产十万吨汽车工业设备润滑及包装材料配套生产项目经理部</w:t>
      </w:r>
    </w:p>
    <w:p>
      <w:pPr>
        <w:pStyle w:val="11"/>
        <w:keepNext w:val="0"/>
        <w:keepLines w:val="0"/>
        <w:pageBreakBefore w:val="0"/>
        <w:widowControl/>
        <w:suppressLineNumbers w:val="0"/>
        <w:kinsoku/>
        <w:wordWrap/>
        <w:overflowPunct/>
        <w:topLinePunct w:val="0"/>
        <w:bidi w:val="0"/>
        <w:adjustRightInd/>
        <w:snapToGrid/>
        <w:spacing w:beforeAutospacing="0" w:afterAutospacing="0" w:line="360" w:lineRule="auto"/>
        <w:ind w:firstLine="3840" w:firstLineChars="160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 </w:t>
      </w:r>
    </w:p>
    <w:p>
      <w:pPr>
        <w:keepNext w:val="0"/>
        <w:keepLines w:val="0"/>
        <w:pageBreakBefore w:val="0"/>
        <w:kinsoku/>
        <w:wordWrap/>
        <w:overflowPunct/>
        <w:topLinePunct w:val="0"/>
        <w:bidi w:val="0"/>
        <w:adjustRightInd/>
        <w:snapToGrid/>
        <w:spacing w:beforeAutospacing="0" w:afterAutospacing="0" w:line="360" w:lineRule="auto"/>
        <w:ind w:firstLine="4560" w:firstLineChars="1900"/>
        <w:textAlignment w:val="auto"/>
        <w:rPr>
          <w:rFonts w:hint="eastAsia" w:ascii="仿宋" w:hAnsi="仿宋" w:eastAsia="仿宋" w:cs="仿宋"/>
        </w:rPr>
      </w:pPr>
      <w:r>
        <w:rPr>
          <w:rFonts w:hint="eastAsia" w:ascii="仿宋" w:hAnsi="仿宋" w:eastAsia="仿宋" w:cs="仿宋"/>
          <w:i w:val="0"/>
          <w:iCs w:val="0"/>
          <w:caps w:val="0"/>
          <w:color w:val="000000"/>
          <w:spacing w:val="0"/>
          <w:sz w:val="24"/>
          <w:szCs w:val="24"/>
          <w:lang w:val="en-US" w:eastAsia="zh-CN"/>
        </w:rPr>
        <w:t>2026年3月26日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Theme="minorEastAsia"/>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D74AB"/>
    <w:multiLevelType w:val="singleLevel"/>
    <w:tmpl w:val="C02D74AB"/>
    <w:lvl w:ilvl="0" w:tentative="0">
      <w:start w:val="1"/>
      <w:numFmt w:val="decimal"/>
      <w:lvlText w:val="%1."/>
      <w:lvlJc w:val="left"/>
      <w:pPr>
        <w:tabs>
          <w:tab w:val="left" w:pos="312"/>
        </w:tabs>
      </w:pPr>
    </w:lvl>
  </w:abstractNum>
  <w:abstractNum w:abstractNumId="1">
    <w:nsid w:val="F0473BCF"/>
    <w:multiLevelType w:val="singleLevel"/>
    <w:tmpl w:val="F0473BCF"/>
    <w:lvl w:ilvl="0" w:tentative="0">
      <w:start w:val="4"/>
      <w:numFmt w:val="chineseCounting"/>
      <w:suff w:val="nothing"/>
      <w:lvlText w:val="%1、"/>
      <w:lvlJc w:val="left"/>
      <w:rPr>
        <w:rFonts w:hint="eastAsia"/>
      </w:rPr>
    </w:lvl>
  </w:abstractNum>
  <w:abstractNum w:abstractNumId="2">
    <w:nsid w:val="0508F64E"/>
    <w:multiLevelType w:val="singleLevel"/>
    <w:tmpl w:val="0508F64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WQ5Y2NiNTZkYjBlMTFkOTdjMjQ0OWMxNzU1ZTMifQ=="/>
  </w:docVars>
  <w:rsids>
    <w:rsidRoot w:val="00000000"/>
    <w:rsid w:val="006360BD"/>
    <w:rsid w:val="04CB4231"/>
    <w:rsid w:val="04F30C87"/>
    <w:rsid w:val="069F7723"/>
    <w:rsid w:val="06C279DE"/>
    <w:rsid w:val="09EB2C7F"/>
    <w:rsid w:val="0A1D552E"/>
    <w:rsid w:val="0A85500D"/>
    <w:rsid w:val="0B215F36"/>
    <w:rsid w:val="0B642CE9"/>
    <w:rsid w:val="0C177D5B"/>
    <w:rsid w:val="0C2C4209"/>
    <w:rsid w:val="0CC52725"/>
    <w:rsid w:val="0D38442D"/>
    <w:rsid w:val="0F9A38F3"/>
    <w:rsid w:val="10594DE6"/>
    <w:rsid w:val="10C85AC8"/>
    <w:rsid w:val="10F863AD"/>
    <w:rsid w:val="11BC3205"/>
    <w:rsid w:val="11C43D91"/>
    <w:rsid w:val="12C21B50"/>
    <w:rsid w:val="12D373EF"/>
    <w:rsid w:val="135B70C7"/>
    <w:rsid w:val="13B36298"/>
    <w:rsid w:val="14055F82"/>
    <w:rsid w:val="14520B8E"/>
    <w:rsid w:val="14AF76CB"/>
    <w:rsid w:val="14E57866"/>
    <w:rsid w:val="15C545A9"/>
    <w:rsid w:val="16596861"/>
    <w:rsid w:val="17096ACB"/>
    <w:rsid w:val="177F5AB4"/>
    <w:rsid w:val="1CF30371"/>
    <w:rsid w:val="1DB47B00"/>
    <w:rsid w:val="1E276524"/>
    <w:rsid w:val="1ED0096A"/>
    <w:rsid w:val="20335B9C"/>
    <w:rsid w:val="227F05CC"/>
    <w:rsid w:val="273813D8"/>
    <w:rsid w:val="28485A15"/>
    <w:rsid w:val="2C2B2CC9"/>
    <w:rsid w:val="2C6E7698"/>
    <w:rsid w:val="2CB76CC5"/>
    <w:rsid w:val="2D6112FF"/>
    <w:rsid w:val="2E6D45D8"/>
    <w:rsid w:val="2EBE07DF"/>
    <w:rsid w:val="306A4E25"/>
    <w:rsid w:val="30EF7678"/>
    <w:rsid w:val="31054B70"/>
    <w:rsid w:val="31374878"/>
    <w:rsid w:val="3245403A"/>
    <w:rsid w:val="32A41A99"/>
    <w:rsid w:val="335E433E"/>
    <w:rsid w:val="335F3C12"/>
    <w:rsid w:val="344F1ED9"/>
    <w:rsid w:val="35FA7C22"/>
    <w:rsid w:val="36E22E5C"/>
    <w:rsid w:val="37115F17"/>
    <w:rsid w:val="37DA4AD7"/>
    <w:rsid w:val="3A3E6C77"/>
    <w:rsid w:val="3A4D5C75"/>
    <w:rsid w:val="3A541FF7"/>
    <w:rsid w:val="3CBC3E83"/>
    <w:rsid w:val="3CED579D"/>
    <w:rsid w:val="3E970704"/>
    <w:rsid w:val="3F620D12"/>
    <w:rsid w:val="40552625"/>
    <w:rsid w:val="416C06CB"/>
    <w:rsid w:val="41911D83"/>
    <w:rsid w:val="4464552C"/>
    <w:rsid w:val="447B4624"/>
    <w:rsid w:val="455D32FF"/>
    <w:rsid w:val="49222A03"/>
    <w:rsid w:val="49301E81"/>
    <w:rsid w:val="49BA799D"/>
    <w:rsid w:val="4ABA5B61"/>
    <w:rsid w:val="4B7A5635"/>
    <w:rsid w:val="4BBE19C6"/>
    <w:rsid w:val="4D541A5E"/>
    <w:rsid w:val="4F1418FD"/>
    <w:rsid w:val="4FC275AB"/>
    <w:rsid w:val="51DF2696"/>
    <w:rsid w:val="52971174"/>
    <w:rsid w:val="53EB5322"/>
    <w:rsid w:val="54034D89"/>
    <w:rsid w:val="55986DE4"/>
    <w:rsid w:val="56C45044"/>
    <w:rsid w:val="59B44408"/>
    <w:rsid w:val="5A5F48DF"/>
    <w:rsid w:val="5B323837"/>
    <w:rsid w:val="5B676976"/>
    <w:rsid w:val="5C2869E8"/>
    <w:rsid w:val="5CDA23D8"/>
    <w:rsid w:val="5DE60909"/>
    <w:rsid w:val="5F261904"/>
    <w:rsid w:val="5F3E6C4E"/>
    <w:rsid w:val="5FB97509"/>
    <w:rsid w:val="60F73EF3"/>
    <w:rsid w:val="610D0FDD"/>
    <w:rsid w:val="641D75ED"/>
    <w:rsid w:val="66DE2AC5"/>
    <w:rsid w:val="671646B9"/>
    <w:rsid w:val="68731EB9"/>
    <w:rsid w:val="68CD4B9F"/>
    <w:rsid w:val="693410C2"/>
    <w:rsid w:val="696B549E"/>
    <w:rsid w:val="6A303C80"/>
    <w:rsid w:val="6AA162E3"/>
    <w:rsid w:val="6AED1528"/>
    <w:rsid w:val="6C021003"/>
    <w:rsid w:val="6C172D01"/>
    <w:rsid w:val="6C1D576D"/>
    <w:rsid w:val="6C8B724B"/>
    <w:rsid w:val="6E5024FA"/>
    <w:rsid w:val="70383246"/>
    <w:rsid w:val="71A34535"/>
    <w:rsid w:val="72290718"/>
    <w:rsid w:val="76CB6F26"/>
    <w:rsid w:val="77183929"/>
    <w:rsid w:val="79D93CE9"/>
    <w:rsid w:val="7BED2287"/>
    <w:rsid w:val="7C26752C"/>
    <w:rsid w:val="7C5238E1"/>
    <w:rsid w:val="7C876679"/>
    <w:rsid w:val="7D4D0BC0"/>
    <w:rsid w:val="7F26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rPr>
      <w:rFonts w:ascii="Times New Roman" w:hAnsi="Times New Roman"/>
      <w:szCs w:val="21"/>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firstLine="420"/>
    </w:pPr>
  </w:style>
  <w:style w:type="paragraph" w:styleId="8">
    <w:name w:val="Plain Text"/>
    <w:basedOn w:val="1"/>
    <w:qFormat/>
    <w:uiPriority w:val="0"/>
    <w:rPr>
      <w:rFonts w:ascii="宋体" w:hAnsi="Courier New" w:eastAsia="仿宋_GB2312"/>
      <w:szCs w:val="20"/>
    </w:rPr>
  </w:style>
  <w:style w:type="paragraph" w:styleId="9">
    <w:name w:val="Body Text First Indent 2"/>
    <w:basedOn w:val="7"/>
    <w:next w:val="1"/>
    <w:qFormat/>
    <w:uiPriority w:val="0"/>
    <w:pPr>
      <w:adjustRightInd w:val="0"/>
      <w:snapToGrid w:val="0"/>
      <w:ind w:firstLineChars="200"/>
    </w:pPr>
    <w:rPr>
      <w:rFonts w:ascii="宋体" w:eastAsia="黑体"/>
      <w:bCs/>
      <w:snapToGrid w:val="0"/>
      <w:spacing w:val="15"/>
      <w:sz w:val="28"/>
      <w:szCs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5">
    <w:name w:val="fontstyle31"/>
    <w:qFormat/>
    <w:uiPriority w:val="0"/>
    <w:rPr>
      <w:rFonts w:ascii="华文中宋" w:hAnsi="华文中宋" w:eastAsia="华文中宋" w:cs="华文中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2195</Words>
  <Characters>2398</Characters>
  <Lines>0</Lines>
  <Paragraphs>0</Paragraphs>
  <TotalTime>38</TotalTime>
  <ScaleCrop>false</ScaleCrop>
  <LinksUpToDate>false</LinksUpToDate>
  <CharactersWithSpaces>2460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2024-10-14T07:09:00Z</dcterms:created>
  <dc:creator>Administrator</dc:creator>
  <cp:lastModifiedBy>胡延平</cp:lastModifiedBy>
  <dcterms:modified xsi:type="dcterms:W3CDTF">2026-03-26T01:09:54Z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A2DC726736104440A6B7A24F61D93328_12</vt:lpwstr>
  </property>
</Properties>
</file>